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40" w:before="240" w:line="276" w:lineRule="auto"/>
        <w:jc w:val="both"/>
        <w:rPr/>
      </w:pPr>
      <w:bookmarkStart w:colFirst="0" w:colLast="0" w:name="_lhg5su8sfyq7" w:id="0"/>
      <w:bookmarkEnd w:id="0"/>
      <w:r w:rsidDel="00000000" w:rsidR="00000000" w:rsidRPr="00000000">
        <w:rPr>
          <w:rtl w:val="0"/>
        </w:rPr>
        <w:t xml:space="preserve">QAR - Riscos de Engenharia  </w:t>
      </w:r>
    </w:p>
    <w:p w:rsidR="00000000" w:rsidDel="00000000" w:rsidP="00000000" w:rsidRDefault="00000000" w:rsidRPr="00000000" w14:paraId="00000002">
      <w:pPr>
        <w:pStyle w:val="Title"/>
        <w:spacing w:after="240" w:before="240" w:line="276" w:lineRule="auto"/>
        <w:jc w:val="both"/>
        <w:rPr>
          <w:color w:val="242424"/>
        </w:rPr>
      </w:pPr>
      <w:bookmarkStart w:colFirst="0" w:colLast="0" w:name="_yj3bgdduqh97" w:id="1"/>
      <w:bookmarkEnd w:id="1"/>
      <w:r w:rsidDel="00000000" w:rsidR="00000000" w:rsidRPr="00000000">
        <w:rPr>
          <w:rtl w:val="0"/>
        </w:rPr>
        <w:t xml:space="preserve">Cotação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-Dados completos do Segurado (nome, CNPJ/CPF);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76" w:lineRule="auto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- Descrever atividades que serão realizadas na obra;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76" w:lineRule="auto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- Terá serviço de reforço estrutural; (Se sim, declinar)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76" w:lineRule="auto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- Haverá execução de fundação? Caso positivo, informar o tipo de fundação adotada; (Rasa ou Profunda), Se Rasa aceitação normal, se profunda, seguir com recusa.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76" w:lineRule="auto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- Haverá serviço de contenção? Ex: Tirantes, Muro de Arrimo; (Se sim, declinar)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- Valor em risco do projeto (R$); Até 10MM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- A obra já iniciou? Caso positivo, informar o “%” executado. (Até 25%)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76" w:lineRule="auto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- Possui protecionais no canteiro? Quais?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76" w:lineRule="auto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- Sinistralidade dos últimos 5 anos.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76" w:lineRule="auto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- Cronograma físico financeiro.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766888" cy="56352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635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